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54F6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在每個國家外資設立 依下述分析:</w:t>
      </w:r>
    </w:p>
    <w:p w14:paraId="463D385C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RNCS × 九項管制因素＝36格底層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規則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明細；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每格再附上OLPA代碼、功能角色代碼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、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生命週期代碼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、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法定完成時點代碼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、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 xml:space="preserve"> 事件代碼 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、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執行分工代碼與欄位 (特別Execution or Evidence Provider 與 執行或證明提供者)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、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辦理狀態代碼 及法律效果代碼與程序結果代碼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。 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br/>
        <w:t>最後由36格底層規則明細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，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反向彙總成原來的16格案件執行摘要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，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 xml:space="preserve">且產生外資設立程序Route Code。 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br/>
        <w:t>並產生Common Knowledge 及 Logic and 最後結論 。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br/>
      </w:r>
      <w:r w:rsidRPr="009077A4">
        <w:rPr>
          <w:rFonts w:ascii="新細明體" w:eastAsia="新細明體" w:hAnsi="新細明體" w:cs="新細明體"/>
          <w:kern w:val="0"/>
          <w14:ligatures w14:val="none"/>
        </w:rPr>
        <w:br/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以下名詞定義:</w:t>
      </w:r>
    </w:p>
    <w:p w14:paraId="35A7F6D7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RNCS｜誰把關？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1933"/>
        <w:gridCol w:w="4484"/>
      </w:tblGrid>
      <w:tr w:rsidR="009077A4" w:rsidRPr="009077A4" w14:paraId="4F5EC2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572A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代碼把關者主要功能</w:t>
            </w:r>
          </w:p>
        </w:tc>
        <w:tc>
          <w:tcPr>
            <w:tcW w:w="0" w:type="auto"/>
            <w:vAlign w:val="center"/>
            <w:hideMark/>
          </w:tcPr>
          <w:p w14:paraId="56FBE3EE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63FFF3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077A4" w:rsidRPr="009077A4" w14:paraId="429267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D5A8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14:paraId="7567B8A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Registrar</w:t>
            </w:r>
          </w:p>
        </w:tc>
        <w:tc>
          <w:tcPr>
            <w:tcW w:w="0" w:type="auto"/>
            <w:vAlign w:val="center"/>
            <w:hideMark/>
          </w:tcPr>
          <w:p w14:paraId="27249C7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公司登記、資料記載、公開及變更申報</w:t>
            </w:r>
          </w:p>
        </w:tc>
      </w:tr>
      <w:tr w:rsidR="009077A4" w:rsidRPr="009077A4" w14:paraId="11D2AC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A384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229E8C0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Notary</w:t>
            </w:r>
          </w:p>
        </w:tc>
        <w:tc>
          <w:tcPr>
            <w:tcW w:w="0" w:type="auto"/>
            <w:vAlign w:val="center"/>
            <w:hideMark/>
          </w:tcPr>
          <w:p w14:paraId="376DFEB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身分、代表權、章程、意思表示及文件合法性</w:t>
            </w:r>
          </w:p>
        </w:tc>
      </w:tr>
      <w:tr w:rsidR="009077A4" w:rsidRPr="009077A4" w14:paraId="1B457D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1854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1EA3961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Court／Court Registry</w:t>
            </w:r>
          </w:p>
        </w:tc>
        <w:tc>
          <w:tcPr>
            <w:tcW w:w="0" w:type="auto"/>
            <w:vAlign w:val="center"/>
            <w:hideMark/>
          </w:tcPr>
          <w:p w14:paraId="04C1D64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審查是否准予登記，以及公司何時取得法人資格</w:t>
            </w:r>
          </w:p>
        </w:tc>
      </w:tr>
      <w:tr w:rsidR="009077A4" w:rsidRPr="009077A4" w14:paraId="3D8CF1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9D08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6621AF3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Special Authority</w:t>
            </w:r>
          </w:p>
        </w:tc>
        <w:tc>
          <w:tcPr>
            <w:tcW w:w="0" w:type="auto"/>
            <w:vAlign w:val="center"/>
            <w:hideMark/>
          </w:tcPr>
          <w:p w14:paraId="354BF1E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外資、產業、國安、外匯、自由區及牌照主管機關</w:t>
            </w:r>
          </w:p>
        </w:tc>
      </w:tr>
    </w:tbl>
    <w:p w14:paraId="630F3FFF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九項管制因素｜Control Factors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3195"/>
      </w:tblGrid>
      <w:tr w:rsidR="009077A4" w:rsidRPr="009077A4" w14:paraId="15AD57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6F220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代碼管制因素</w:t>
            </w:r>
          </w:p>
        </w:tc>
        <w:tc>
          <w:tcPr>
            <w:tcW w:w="0" w:type="auto"/>
            <w:vAlign w:val="center"/>
            <w:hideMark/>
          </w:tcPr>
          <w:p w14:paraId="1A53A353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</w:p>
        </w:tc>
      </w:tr>
      <w:tr w:rsidR="009077A4" w:rsidRPr="009077A4" w14:paraId="6C2440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07A95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OC</w:t>
            </w:r>
          </w:p>
        </w:tc>
        <w:tc>
          <w:tcPr>
            <w:tcW w:w="0" w:type="auto"/>
            <w:vAlign w:val="center"/>
            <w:hideMark/>
          </w:tcPr>
          <w:p w14:paraId="5EF806A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外資持股上限</w:t>
            </w:r>
          </w:p>
        </w:tc>
      </w:tr>
      <w:tr w:rsidR="009077A4" w:rsidRPr="009077A4" w14:paraId="49CD8B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06C6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MC</w:t>
            </w:r>
          </w:p>
        </w:tc>
        <w:tc>
          <w:tcPr>
            <w:tcW w:w="0" w:type="auto"/>
            <w:vAlign w:val="center"/>
            <w:hideMark/>
          </w:tcPr>
          <w:p w14:paraId="67DAA3D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最低資本或最低投資額</w:t>
            </w:r>
          </w:p>
        </w:tc>
      </w:tr>
      <w:tr w:rsidR="009077A4" w:rsidRPr="009077A4" w14:paraId="548711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3B09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0A4A03F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本地董事、代表人或公司秘書</w:t>
            </w:r>
          </w:p>
        </w:tc>
      </w:tr>
      <w:tr w:rsidR="009077A4" w:rsidRPr="009077A4" w14:paraId="57E1A1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CA48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SL</w:t>
            </w:r>
          </w:p>
        </w:tc>
        <w:tc>
          <w:tcPr>
            <w:tcW w:w="0" w:type="auto"/>
            <w:vAlign w:val="center"/>
            <w:hideMark/>
          </w:tcPr>
          <w:p w14:paraId="4C00DB1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產業執照</w:t>
            </w:r>
          </w:p>
        </w:tc>
      </w:tr>
      <w:tr w:rsidR="009077A4" w:rsidRPr="009077A4" w14:paraId="0704C6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F231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ADDR</w:t>
            </w:r>
          </w:p>
        </w:tc>
        <w:tc>
          <w:tcPr>
            <w:tcW w:w="0" w:type="auto"/>
            <w:vAlign w:val="center"/>
            <w:hideMark/>
          </w:tcPr>
          <w:p w14:paraId="4220FFD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註冊地址及營業場所</w:t>
            </w:r>
          </w:p>
        </w:tc>
      </w:tr>
      <w:tr w:rsidR="009077A4" w:rsidRPr="009077A4" w14:paraId="602258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D618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16D40DC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境外文件認證</w:t>
            </w:r>
          </w:p>
        </w:tc>
      </w:tr>
      <w:tr w:rsidR="009077A4" w:rsidRPr="009077A4" w14:paraId="15CA07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7171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FX</w:t>
            </w:r>
          </w:p>
        </w:tc>
        <w:tc>
          <w:tcPr>
            <w:tcW w:w="0" w:type="auto"/>
            <w:vAlign w:val="center"/>
            <w:hideMark/>
          </w:tcPr>
          <w:p w14:paraId="452E218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外匯與資本匯入</w:t>
            </w:r>
          </w:p>
        </w:tc>
      </w:tr>
      <w:tr w:rsidR="009077A4" w:rsidRPr="009077A4" w14:paraId="701CBE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4349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UBO</w:t>
            </w:r>
          </w:p>
        </w:tc>
        <w:tc>
          <w:tcPr>
            <w:tcW w:w="0" w:type="auto"/>
            <w:vAlign w:val="center"/>
            <w:hideMark/>
          </w:tcPr>
          <w:p w14:paraId="0AB22AB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實質受益人及AML／KYC</w:t>
            </w:r>
          </w:p>
        </w:tc>
      </w:tr>
      <w:tr w:rsidR="009077A4" w:rsidRPr="009077A4" w14:paraId="37F23C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5578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NS</w:t>
            </w:r>
          </w:p>
        </w:tc>
        <w:tc>
          <w:tcPr>
            <w:tcW w:w="0" w:type="auto"/>
            <w:vAlign w:val="center"/>
            <w:hideMark/>
          </w:tcPr>
          <w:p w14:paraId="5CEAD4C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國家安全審查</w:t>
            </w:r>
          </w:p>
        </w:tc>
      </w:tr>
    </w:tbl>
    <w:p w14:paraId="63180705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lastRenderedPageBreak/>
        <w:t>OLPA｜產生什麼准入效果？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7"/>
        <w:gridCol w:w="4949"/>
      </w:tblGrid>
      <w:tr w:rsidR="009077A4" w:rsidRPr="009077A4" w14:paraId="764F8E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22A20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代碼准入效果</w:t>
            </w:r>
          </w:p>
        </w:tc>
        <w:tc>
          <w:tcPr>
            <w:tcW w:w="0" w:type="auto"/>
            <w:vAlign w:val="center"/>
            <w:hideMark/>
          </w:tcPr>
          <w:p w14:paraId="38A6E943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</w:p>
        </w:tc>
      </w:tr>
      <w:tr w:rsidR="009077A4" w:rsidRPr="009077A4" w14:paraId="792F38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611A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14:paraId="00813DD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Open：外資原則開放</w:t>
            </w:r>
          </w:p>
        </w:tc>
      </w:tr>
      <w:tr w:rsidR="009077A4" w:rsidRPr="009077A4" w14:paraId="5D657C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A51D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L</w:t>
            </w:r>
          </w:p>
        </w:tc>
        <w:tc>
          <w:tcPr>
            <w:tcW w:w="0" w:type="auto"/>
            <w:vAlign w:val="center"/>
            <w:hideMark/>
          </w:tcPr>
          <w:p w14:paraId="7241B26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List-based：因清單列管</w:t>
            </w:r>
          </w:p>
        </w:tc>
      </w:tr>
      <w:tr w:rsidR="009077A4" w:rsidRPr="009077A4" w14:paraId="01B89A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BA96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24D7CC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Conditional：須符合特定條件</w:t>
            </w:r>
          </w:p>
        </w:tc>
      </w:tr>
      <w:tr w:rsidR="009077A4" w:rsidRPr="009077A4" w14:paraId="04674C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BB47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BE6E83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Approval／Screening：須事前核准、通知或審查</w:t>
            </w:r>
          </w:p>
        </w:tc>
      </w:tr>
    </w:tbl>
    <w:p w14:paraId="09E2AED9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核心邏輯是：36格核心矩陣=36格底層規則明細</w:t>
      </w:r>
    </w:p>
    <w:p w14:paraId="585A7367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RNCS決定誰管；九項Factors決定管什麼；4 × 9形成36格核心矩陣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。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br/>
        <w:t xml:space="preserve">每格記載 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每格再附OLPA、功能角色、生命週期代碼階段、法定完成時點、 事件代碼 、執行分工代碼與欄位 (特別Execution or Evidence Provider 與 執行或證明提供者)、辦理狀態代碼 及法律效果與程序結果代碼 。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612"/>
        <w:gridCol w:w="649"/>
        <w:gridCol w:w="587"/>
        <w:gridCol w:w="562"/>
        <w:gridCol w:w="937"/>
        <w:gridCol w:w="624"/>
        <w:gridCol w:w="586"/>
        <w:gridCol w:w="774"/>
        <w:gridCol w:w="601"/>
      </w:tblGrid>
      <w:tr w:rsidR="009077A4" w:rsidRPr="009077A4" w14:paraId="2BA04B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A1594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把關者＼管制因素</w:t>
            </w:r>
          </w:p>
        </w:tc>
        <w:tc>
          <w:tcPr>
            <w:tcW w:w="0" w:type="auto"/>
            <w:vAlign w:val="center"/>
            <w:hideMark/>
          </w:tcPr>
          <w:p w14:paraId="1AEA9C78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OC</w:t>
            </w:r>
          </w:p>
        </w:tc>
        <w:tc>
          <w:tcPr>
            <w:tcW w:w="0" w:type="auto"/>
            <w:vAlign w:val="center"/>
            <w:hideMark/>
          </w:tcPr>
          <w:p w14:paraId="358168EF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MC</w:t>
            </w:r>
          </w:p>
        </w:tc>
        <w:tc>
          <w:tcPr>
            <w:tcW w:w="0" w:type="auto"/>
            <w:vAlign w:val="center"/>
            <w:hideMark/>
          </w:tcPr>
          <w:p w14:paraId="40A35B49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55F1DDC7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SL</w:t>
            </w:r>
          </w:p>
        </w:tc>
        <w:tc>
          <w:tcPr>
            <w:tcW w:w="0" w:type="auto"/>
            <w:vAlign w:val="center"/>
            <w:hideMark/>
          </w:tcPr>
          <w:p w14:paraId="3AD60877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ADDR</w:t>
            </w:r>
          </w:p>
        </w:tc>
        <w:tc>
          <w:tcPr>
            <w:tcW w:w="0" w:type="auto"/>
            <w:vAlign w:val="center"/>
            <w:hideMark/>
          </w:tcPr>
          <w:p w14:paraId="400F89A8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DA</w:t>
            </w:r>
          </w:p>
        </w:tc>
        <w:tc>
          <w:tcPr>
            <w:tcW w:w="0" w:type="auto"/>
            <w:vAlign w:val="center"/>
            <w:hideMark/>
          </w:tcPr>
          <w:p w14:paraId="2F20D65D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FX</w:t>
            </w:r>
          </w:p>
        </w:tc>
        <w:tc>
          <w:tcPr>
            <w:tcW w:w="0" w:type="auto"/>
            <w:vAlign w:val="center"/>
            <w:hideMark/>
          </w:tcPr>
          <w:p w14:paraId="19CC699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UBO</w:t>
            </w:r>
          </w:p>
        </w:tc>
        <w:tc>
          <w:tcPr>
            <w:tcW w:w="0" w:type="auto"/>
            <w:vAlign w:val="center"/>
            <w:hideMark/>
          </w:tcPr>
          <w:p w14:paraId="51FB2AA8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NS</w:t>
            </w:r>
          </w:p>
        </w:tc>
      </w:tr>
      <w:tr w:rsidR="009077A4" w:rsidRPr="009077A4" w14:paraId="395F6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7406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 Registrar</w:t>
            </w:r>
          </w:p>
        </w:tc>
        <w:tc>
          <w:tcPr>
            <w:tcW w:w="0" w:type="auto"/>
            <w:vAlign w:val="center"/>
            <w:hideMark/>
          </w:tcPr>
          <w:p w14:paraId="5CEF0D5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R-OC</w:t>
            </w:r>
          </w:p>
        </w:tc>
        <w:tc>
          <w:tcPr>
            <w:tcW w:w="0" w:type="auto"/>
            <w:vAlign w:val="center"/>
            <w:hideMark/>
          </w:tcPr>
          <w:p w14:paraId="59E036A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R-MC</w:t>
            </w:r>
          </w:p>
        </w:tc>
        <w:tc>
          <w:tcPr>
            <w:tcW w:w="0" w:type="auto"/>
            <w:vAlign w:val="center"/>
            <w:hideMark/>
          </w:tcPr>
          <w:p w14:paraId="099D48F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R-LR</w:t>
            </w:r>
          </w:p>
        </w:tc>
        <w:tc>
          <w:tcPr>
            <w:tcW w:w="0" w:type="auto"/>
            <w:vAlign w:val="center"/>
            <w:hideMark/>
          </w:tcPr>
          <w:p w14:paraId="7203CF5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R-SL</w:t>
            </w:r>
          </w:p>
        </w:tc>
        <w:tc>
          <w:tcPr>
            <w:tcW w:w="0" w:type="auto"/>
            <w:vAlign w:val="center"/>
            <w:hideMark/>
          </w:tcPr>
          <w:p w14:paraId="17371B1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R-ADDR</w:t>
            </w:r>
          </w:p>
        </w:tc>
        <w:tc>
          <w:tcPr>
            <w:tcW w:w="0" w:type="auto"/>
            <w:vAlign w:val="center"/>
            <w:hideMark/>
          </w:tcPr>
          <w:p w14:paraId="3818435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R-DA</w:t>
            </w:r>
          </w:p>
        </w:tc>
        <w:tc>
          <w:tcPr>
            <w:tcW w:w="0" w:type="auto"/>
            <w:vAlign w:val="center"/>
            <w:hideMark/>
          </w:tcPr>
          <w:p w14:paraId="15DB1FB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R-FX</w:t>
            </w:r>
          </w:p>
        </w:tc>
        <w:tc>
          <w:tcPr>
            <w:tcW w:w="0" w:type="auto"/>
            <w:vAlign w:val="center"/>
            <w:hideMark/>
          </w:tcPr>
          <w:p w14:paraId="125D810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R-UBO</w:t>
            </w:r>
          </w:p>
        </w:tc>
        <w:tc>
          <w:tcPr>
            <w:tcW w:w="0" w:type="auto"/>
            <w:vAlign w:val="center"/>
            <w:hideMark/>
          </w:tcPr>
          <w:p w14:paraId="282BF4E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R-NS</w:t>
            </w:r>
          </w:p>
        </w:tc>
      </w:tr>
      <w:tr w:rsidR="009077A4" w:rsidRPr="009077A4" w14:paraId="6003FD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5DB88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 Notary</w:t>
            </w:r>
          </w:p>
        </w:tc>
        <w:tc>
          <w:tcPr>
            <w:tcW w:w="0" w:type="auto"/>
            <w:vAlign w:val="center"/>
            <w:hideMark/>
          </w:tcPr>
          <w:p w14:paraId="757DB28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N-OC</w:t>
            </w:r>
          </w:p>
        </w:tc>
        <w:tc>
          <w:tcPr>
            <w:tcW w:w="0" w:type="auto"/>
            <w:vAlign w:val="center"/>
            <w:hideMark/>
          </w:tcPr>
          <w:p w14:paraId="7237569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N-MC</w:t>
            </w:r>
          </w:p>
        </w:tc>
        <w:tc>
          <w:tcPr>
            <w:tcW w:w="0" w:type="auto"/>
            <w:vAlign w:val="center"/>
            <w:hideMark/>
          </w:tcPr>
          <w:p w14:paraId="50028FE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N-LR</w:t>
            </w:r>
          </w:p>
        </w:tc>
        <w:tc>
          <w:tcPr>
            <w:tcW w:w="0" w:type="auto"/>
            <w:vAlign w:val="center"/>
            <w:hideMark/>
          </w:tcPr>
          <w:p w14:paraId="0D56E2F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N-SL</w:t>
            </w:r>
          </w:p>
        </w:tc>
        <w:tc>
          <w:tcPr>
            <w:tcW w:w="0" w:type="auto"/>
            <w:vAlign w:val="center"/>
            <w:hideMark/>
          </w:tcPr>
          <w:p w14:paraId="594ED07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N-ADDR</w:t>
            </w:r>
          </w:p>
        </w:tc>
        <w:tc>
          <w:tcPr>
            <w:tcW w:w="0" w:type="auto"/>
            <w:vAlign w:val="center"/>
            <w:hideMark/>
          </w:tcPr>
          <w:p w14:paraId="3FA1175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N-DA</w:t>
            </w:r>
          </w:p>
        </w:tc>
        <w:tc>
          <w:tcPr>
            <w:tcW w:w="0" w:type="auto"/>
            <w:vAlign w:val="center"/>
            <w:hideMark/>
          </w:tcPr>
          <w:p w14:paraId="220831F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N-FX</w:t>
            </w:r>
          </w:p>
        </w:tc>
        <w:tc>
          <w:tcPr>
            <w:tcW w:w="0" w:type="auto"/>
            <w:vAlign w:val="center"/>
            <w:hideMark/>
          </w:tcPr>
          <w:p w14:paraId="2F721C7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N-UBO</w:t>
            </w:r>
          </w:p>
        </w:tc>
        <w:tc>
          <w:tcPr>
            <w:tcW w:w="0" w:type="auto"/>
            <w:vAlign w:val="center"/>
            <w:hideMark/>
          </w:tcPr>
          <w:p w14:paraId="47BAB02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N-NS</w:t>
            </w:r>
          </w:p>
        </w:tc>
      </w:tr>
      <w:tr w:rsidR="009077A4" w:rsidRPr="009077A4" w14:paraId="0C850C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9D4A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 Court</w:t>
            </w:r>
          </w:p>
        </w:tc>
        <w:tc>
          <w:tcPr>
            <w:tcW w:w="0" w:type="auto"/>
            <w:vAlign w:val="center"/>
            <w:hideMark/>
          </w:tcPr>
          <w:p w14:paraId="3E000EC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C-OC</w:t>
            </w:r>
          </w:p>
        </w:tc>
        <w:tc>
          <w:tcPr>
            <w:tcW w:w="0" w:type="auto"/>
            <w:vAlign w:val="center"/>
            <w:hideMark/>
          </w:tcPr>
          <w:p w14:paraId="234357F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C-MC</w:t>
            </w:r>
          </w:p>
        </w:tc>
        <w:tc>
          <w:tcPr>
            <w:tcW w:w="0" w:type="auto"/>
            <w:vAlign w:val="center"/>
            <w:hideMark/>
          </w:tcPr>
          <w:p w14:paraId="69923B4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C-LR</w:t>
            </w:r>
          </w:p>
        </w:tc>
        <w:tc>
          <w:tcPr>
            <w:tcW w:w="0" w:type="auto"/>
            <w:vAlign w:val="center"/>
            <w:hideMark/>
          </w:tcPr>
          <w:p w14:paraId="29F8F48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C-SL</w:t>
            </w:r>
          </w:p>
        </w:tc>
        <w:tc>
          <w:tcPr>
            <w:tcW w:w="0" w:type="auto"/>
            <w:vAlign w:val="center"/>
            <w:hideMark/>
          </w:tcPr>
          <w:p w14:paraId="4EC8A6F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C-ADDR</w:t>
            </w:r>
          </w:p>
        </w:tc>
        <w:tc>
          <w:tcPr>
            <w:tcW w:w="0" w:type="auto"/>
            <w:vAlign w:val="center"/>
            <w:hideMark/>
          </w:tcPr>
          <w:p w14:paraId="02B9609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C-DA</w:t>
            </w:r>
          </w:p>
        </w:tc>
        <w:tc>
          <w:tcPr>
            <w:tcW w:w="0" w:type="auto"/>
            <w:vAlign w:val="center"/>
            <w:hideMark/>
          </w:tcPr>
          <w:p w14:paraId="1CBB500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C-FX</w:t>
            </w:r>
          </w:p>
        </w:tc>
        <w:tc>
          <w:tcPr>
            <w:tcW w:w="0" w:type="auto"/>
            <w:vAlign w:val="center"/>
            <w:hideMark/>
          </w:tcPr>
          <w:p w14:paraId="58FB02B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C-UBO</w:t>
            </w:r>
          </w:p>
        </w:tc>
        <w:tc>
          <w:tcPr>
            <w:tcW w:w="0" w:type="auto"/>
            <w:vAlign w:val="center"/>
            <w:hideMark/>
          </w:tcPr>
          <w:p w14:paraId="30A3872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C-NS</w:t>
            </w:r>
          </w:p>
        </w:tc>
      </w:tr>
      <w:tr w:rsidR="009077A4" w:rsidRPr="009077A4" w14:paraId="536E01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07E0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 Special Authority</w:t>
            </w:r>
          </w:p>
        </w:tc>
        <w:tc>
          <w:tcPr>
            <w:tcW w:w="0" w:type="auto"/>
            <w:vAlign w:val="center"/>
            <w:hideMark/>
          </w:tcPr>
          <w:p w14:paraId="3030B55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S-OC</w:t>
            </w:r>
          </w:p>
        </w:tc>
        <w:tc>
          <w:tcPr>
            <w:tcW w:w="0" w:type="auto"/>
            <w:vAlign w:val="center"/>
            <w:hideMark/>
          </w:tcPr>
          <w:p w14:paraId="57A933F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S-MC</w:t>
            </w:r>
          </w:p>
        </w:tc>
        <w:tc>
          <w:tcPr>
            <w:tcW w:w="0" w:type="auto"/>
            <w:vAlign w:val="center"/>
            <w:hideMark/>
          </w:tcPr>
          <w:p w14:paraId="113BDD3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S-LR</w:t>
            </w:r>
          </w:p>
        </w:tc>
        <w:tc>
          <w:tcPr>
            <w:tcW w:w="0" w:type="auto"/>
            <w:vAlign w:val="center"/>
            <w:hideMark/>
          </w:tcPr>
          <w:p w14:paraId="40A1F67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S-SL</w:t>
            </w:r>
          </w:p>
        </w:tc>
        <w:tc>
          <w:tcPr>
            <w:tcW w:w="0" w:type="auto"/>
            <w:vAlign w:val="center"/>
            <w:hideMark/>
          </w:tcPr>
          <w:p w14:paraId="207A417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S-ADDR</w:t>
            </w:r>
          </w:p>
        </w:tc>
        <w:tc>
          <w:tcPr>
            <w:tcW w:w="0" w:type="auto"/>
            <w:vAlign w:val="center"/>
            <w:hideMark/>
          </w:tcPr>
          <w:p w14:paraId="0D2EA8E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S-DA</w:t>
            </w:r>
          </w:p>
        </w:tc>
        <w:tc>
          <w:tcPr>
            <w:tcW w:w="0" w:type="auto"/>
            <w:vAlign w:val="center"/>
            <w:hideMark/>
          </w:tcPr>
          <w:p w14:paraId="52129FF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S-FX</w:t>
            </w:r>
          </w:p>
        </w:tc>
        <w:tc>
          <w:tcPr>
            <w:tcW w:w="0" w:type="auto"/>
            <w:vAlign w:val="center"/>
            <w:hideMark/>
          </w:tcPr>
          <w:p w14:paraId="2F900F8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S-UBO</w:t>
            </w:r>
          </w:p>
        </w:tc>
        <w:tc>
          <w:tcPr>
            <w:tcW w:w="0" w:type="auto"/>
            <w:vAlign w:val="center"/>
            <w:hideMark/>
          </w:tcPr>
          <w:p w14:paraId="44B0F32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S-NS</w:t>
            </w:r>
          </w:p>
        </w:tc>
      </w:tr>
    </w:tbl>
    <w:p w14:paraId="3E3F6AC0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 xml:space="preserve">16格案件執行摘要 </w:t>
      </w:r>
    </w:p>
    <w:p w14:paraId="21EF1561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kern w:val="0"/>
          <w14:ligatures w14:val="none"/>
        </w:rPr>
        <w:t>RNCS × OLPA｜16 格執行摘要矩陣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9"/>
        <w:gridCol w:w="1340"/>
        <w:gridCol w:w="1325"/>
        <w:gridCol w:w="1677"/>
        <w:gridCol w:w="1625"/>
      </w:tblGrid>
      <w:tr w:rsidR="009077A4" w:rsidRPr="009077A4" w14:paraId="3753070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13E49B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RNCS ↓ ／ OLPA →</w:t>
            </w:r>
          </w:p>
        </w:tc>
        <w:tc>
          <w:tcPr>
            <w:tcW w:w="0" w:type="auto"/>
            <w:vAlign w:val="center"/>
            <w:hideMark/>
          </w:tcPr>
          <w:p w14:paraId="5235FB41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O｜Open 原則開放</w:t>
            </w:r>
          </w:p>
        </w:tc>
        <w:tc>
          <w:tcPr>
            <w:tcW w:w="0" w:type="auto"/>
            <w:vAlign w:val="center"/>
            <w:hideMark/>
          </w:tcPr>
          <w:p w14:paraId="7BF4CAA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L｜List-based 清單列管</w:t>
            </w:r>
          </w:p>
        </w:tc>
        <w:tc>
          <w:tcPr>
            <w:tcW w:w="0" w:type="auto"/>
            <w:vAlign w:val="center"/>
            <w:hideMark/>
          </w:tcPr>
          <w:p w14:paraId="790F1A91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P｜Conditional 條件要求</w:t>
            </w:r>
          </w:p>
        </w:tc>
        <w:tc>
          <w:tcPr>
            <w:tcW w:w="0" w:type="auto"/>
            <w:vAlign w:val="center"/>
            <w:hideMark/>
          </w:tcPr>
          <w:p w14:paraId="537B2BFA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A｜Approval 核准／審查</w:t>
            </w:r>
          </w:p>
        </w:tc>
      </w:tr>
      <w:tr w:rsidR="009077A4" w:rsidRPr="009077A4" w14:paraId="292F68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1CFB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R｜Registrar 登記機關</w:t>
            </w:r>
          </w:p>
        </w:tc>
        <w:tc>
          <w:tcPr>
            <w:tcW w:w="0" w:type="auto"/>
            <w:vAlign w:val="center"/>
            <w:hideMark/>
          </w:tcPr>
          <w:p w14:paraId="02CA8B7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RO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｜開放登記</w:t>
            </w:r>
          </w:p>
        </w:tc>
        <w:tc>
          <w:tcPr>
            <w:tcW w:w="0" w:type="auto"/>
            <w:vAlign w:val="center"/>
            <w:hideMark/>
          </w:tcPr>
          <w:p w14:paraId="2F54B12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RL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｜清單限制登記</w:t>
            </w:r>
          </w:p>
        </w:tc>
        <w:tc>
          <w:tcPr>
            <w:tcW w:w="0" w:type="auto"/>
            <w:vAlign w:val="center"/>
            <w:hideMark/>
          </w:tcPr>
          <w:p w14:paraId="5F1D71C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RP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｜條件符合登記</w:t>
            </w:r>
          </w:p>
        </w:tc>
        <w:tc>
          <w:tcPr>
            <w:tcW w:w="0" w:type="auto"/>
            <w:vAlign w:val="center"/>
            <w:hideMark/>
          </w:tcPr>
          <w:p w14:paraId="07A3924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RA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｜核准結果承接登記</w:t>
            </w:r>
          </w:p>
        </w:tc>
      </w:tr>
      <w:tr w:rsidR="009077A4" w:rsidRPr="009077A4" w14:paraId="6BDE66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EB9B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N｜Notary 公證人</w:t>
            </w:r>
          </w:p>
        </w:tc>
        <w:tc>
          <w:tcPr>
            <w:tcW w:w="0" w:type="auto"/>
            <w:vAlign w:val="center"/>
            <w:hideMark/>
          </w:tcPr>
          <w:p w14:paraId="21E754E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NO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｜開放案件公證</w:t>
            </w:r>
          </w:p>
        </w:tc>
        <w:tc>
          <w:tcPr>
            <w:tcW w:w="0" w:type="auto"/>
            <w:vAlign w:val="center"/>
            <w:hideMark/>
          </w:tcPr>
          <w:p w14:paraId="42B02CC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NL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｜清單限制公證</w:t>
            </w:r>
          </w:p>
        </w:tc>
        <w:tc>
          <w:tcPr>
            <w:tcW w:w="0" w:type="auto"/>
            <w:vAlign w:val="center"/>
            <w:hideMark/>
          </w:tcPr>
          <w:p w14:paraId="7BB3B85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NP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｜條件符合公證</w:t>
            </w:r>
          </w:p>
        </w:tc>
        <w:tc>
          <w:tcPr>
            <w:tcW w:w="0" w:type="auto"/>
            <w:vAlign w:val="center"/>
            <w:hideMark/>
          </w:tcPr>
          <w:p w14:paraId="38B3FC2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NA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｜核准結果承接公證</w:t>
            </w:r>
          </w:p>
        </w:tc>
      </w:tr>
      <w:tr w:rsidR="009077A4" w:rsidRPr="009077A4" w14:paraId="4FC7A8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C24C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C｜Court／Court Registry 法院／法院登記處</w:t>
            </w:r>
          </w:p>
        </w:tc>
        <w:tc>
          <w:tcPr>
            <w:tcW w:w="0" w:type="auto"/>
            <w:vAlign w:val="center"/>
            <w:hideMark/>
          </w:tcPr>
          <w:p w14:paraId="42EC0E0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CO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｜開放司法登記</w:t>
            </w:r>
          </w:p>
        </w:tc>
        <w:tc>
          <w:tcPr>
            <w:tcW w:w="0" w:type="auto"/>
            <w:vAlign w:val="center"/>
            <w:hideMark/>
          </w:tcPr>
          <w:p w14:paraId="74E4238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CL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｜清單限制司法審查</w:t>
            </w:r>
          </w:p>
        </w:tc>
        <w:tc>
          <w:tcPr>
            <w:tcW w:w="0" w:type="auto"/>
            <w:vAlign w:val="center"/>
            <w:hideMark/>
          </w:tcPr>
          <w:p w14:paraId="6F33AFD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CP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｜條件符合司法程序</w:t>
            </w:r>
          </w:p>
        </w:tc>
        <w:tc>
          <w:tcPr>
            <w:tcW w:w="0" w:type="auto"/>
            <w:vAlign w:val="center"/>
            <w:hideMark/>
          </w:tcPr>
          <w:p w14:paraId="2CEE5F3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CA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｜司法核准／裁定</w:t>
            </w:r>
          </w:p>
        </w:tc>
      </w:tr>
      <w:tr w:rsidR="009077A4" w:rsidRPr="009077A4" w14:paraId="7FA362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AE4F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S｜Special Authority 特別主管機關</w:t>
            </w:r>
          </w:p>
        </w:tc>
        <w:tc>
          <w:tcPr>
            <w:tcW w:w="0" w:type="auto"/>
            <w:vAlign w:val="center"/>
            <w:hideMark/>
          </w:tcPr>
          <w:p w14:paraId="207DC64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SO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｜主管領域原則開放</w:t>
            </w:r>
          </w:p>
        </w:tc>
        <w:tc>
          <w:tcPr>
            <w:tcW w:w="0" w:type="auto"/>
            <w:vAlign w:val="center"/>
            <w:hideMark/>
          </w:tcPr>
          <w:p w14:paraId="142D15C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SL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｜清單列管</w:t>
            </w:r>
          </w:p>
        </w:tc>
        <w:tc>
          <w:tcPr>
            <w:tcW w:w="0" w:type="auto"/>
            <w:vAlign w:val="center"/>
            <w:hideMark/>
          </w:tcPr>
          <w:p w14:paraId="20A9F1D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SP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｜附條件准入</w:t>
            </w:r>
          </w:p>
        </w:tc>
        <w:tc>
          <w:tcPr>
            <w:tcW w:w="0" w:type="auto"/>
            <w:vAlign w:val="center"/>
            <w:hideMark/>
          </w:tcPr>
          <w:p w14:paraId="32AF06C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SA</w:t>
            </w: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｜主管機關核准／審查</w:t>
            </w:r>
          </w:p>
        </w:tc>
      </w:tr>
    </w:tbl>
    <w:p w14:paraId="39FCEAF2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lastRenderedPageBreak/>
        <w:t>七種功能角色代碼及說明</w:t>
      </w:r>
    </w:p>
    <w:p w14:paraId="36CE1AA9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kern w:val="0"/>
          <w14:ligatures w14:val="none"/>
        </w:rPr>
        <w:t>七種角色總覽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2015"/>
        <w:gridCol w:w="2555"/>
        <w:gridCol w:w="3082"/>
      </w:tblGrid>
      <w:tr w:rsidR="009077A4" w:rsidRPr="009077A4" w14:paraId="548551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E1899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</w:t>
            </w:r>
          </w:p>
        </w:tc>
        <w:tc>
          <w:tcPr>
            <w:tcW w:w="0" w:type="auto"/>
            <w:vAlign w:val="center"/>
            <w:hideMark/>
          </w:tcPr>
          <w:p w14:paraId="3667D7D8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英文</w:t>
            </w:r>
          </w:p>
        </w:tc>
        <w:tc>
          <w:tcPr>
            <w:tcW w:w="0" w:type="auto"/>
            <w:vAlign w:val="center"/>
            <w:hideMark/>
          </w:tcPr>
          <w:p w14:paraId="48D0549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中文功能</w:t>
            </w:r>
          </w:p>
        </w:tc>
        <w:tc>
          <w:tcPr>
            <w:tcW w:w="0" w:type="auto"/>
            <w:vAlign w:val="center"/>
            <w:hideMark/>
          </w:tcPr>
          <w:p w14:paraId="7B49AD2B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用一句話理解</w:t>
            </w:r>
          </w:p>
        </w:tc>
      </w:tr>
      <w:tr w:rsidR="009077A4" w:rsidRPr="009077A4" w14:paraId="74888E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2E7B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14:paraId="4E01283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Set／Impose Requirements</w:t>
            </w:r>
          </w:p>
        </w:tc>
        <w:tc>
          <w:tcPr>
            <w:tcW w:w="0" w:type="auto"/>
            <w:vAlign w:val="center"/>
            <w:hideMark/>
          </w:tcPr>
          <w:p w14:paraId="1D705E5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設定規則或依法課予要求</w:t>
            </w:r>
          </w:p>
        </w:tc>
        <w:tc>
          <w:tcPr>
            <w:tcW w:w="0" w:type="auto"/>
            <w:vAlign w:val="center"/>
            <w:hideMark/>
          </w:tcPr>
          <w:p w14:paraId="7ADFBDF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「你必須符合哪些條件？」</w:t>
            </w:r>
          </w:p>
        </w:tc>
      </w:tr>
      <w:tr w:rsidR="009077A4" w:rsidRPr="009077A4" w14:paraId="56EDA0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8998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VER</w:t>
            </w:r>
          </w:p>
        </w:tc>
        <w:tc>
          <w:tcPr>
            <w:tcW w:w="0" w:type="auto"/>
            <w:vAlign w:val="center"/>
            <w:hideMark/>
          </w:tcPr>
          <w:p w14:paraId="6BB7DE9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Verify／Review</w:t>
            </w:r>
          </w:p>
        </w:tc>
        <w:tc>
          <w:tcPr>
            <w:tcW w:w="0" w:type="auto"/>
            <w:vAlign w:val="center"/>
            <w:hideMark/>
          </w:tcPr>
          <w:p w14:paraId="07E2FFF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查核資料、事實及條件</w:t>
            </w:r>
          </w:p>
        </w:tc>
        <w:tc>
          <w:tcPr>
            <w:tcW w:w="0" w:type="auto"/>
            <w:vAlign w:val="center"/>
            <w:hideMark/>
          </w:tcPr>
          <w:p w14:paraId="2A81F70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「你是否真的符合條件？」</w:t>
            </w:r>
          </w:p>
        </w:tc>
      </w:tr>
      <w:tr w:rsidR="009077A4" w:rsidRPr="009077A4" w14:paraId="46101A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5DA3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CERT</w:t>
            </w:r>
          </w:p>
        </w:tc>
        <w:tc>
          <w:tcPr>
            <w:tcW w:w="0" w:type="auto"/>
            <w:vAlign w:val="center"/>
            <w:hideMark/>
          </w:tcPr>
          <w:p w14:paraId="48329A2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Certify／Authenticate</w:t>
            </w:r>
          </w:p>
        </w:tc>
        <w:tc>
          <w:tcPr>
            <w:tcW w:w="0" w:type="auto"/>
            <w:vAlign w:val="center"/>
            <w:hideMark/>
          </w:tcPr>
          <w:p w14:paraId="58516A6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出具限定範圍的證明、認證或專業簽證</w:t>
            </w:r>
          </w:p>
        </w:tc>
        <w:tc>
          <w:tcPr>
            <w:tcW w:w="0" w:type="auto"/>
            <w:vAlign w:val="center"/>
            <w:hideMark/>
          </w:tcPr>
          <w:p w14:paraId="466C5BF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「我對這項事實或文件出具證明。」</w:t>
            </w:r>
          </w:p>
        </w:tc>
      </w:tr>
      <w:tr w:rsidR="009077A4" w:rsidRPr="009077A4" w14:paraId="269835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5989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APR</w:t>
            </w:r>
          </w:p>
        </w:tc>
        <w:tc>
          <w:tcPr>
            <w:tcW w:w="0" w:type="auto"/>
            <w:vAlign w:val="center"/>
            <w:hideMark/>
          </w:tcPr>
          <w:p w14:paraId="6D1ABB6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Approve／</w:t>
            </w:r>
            <w:proofErr w:type="spellStart"/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Authorise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95533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作成核准、許可或不予核准的決定</w:t>
            </w:r>
          </w:p>
        </w:tc>
        <w:tc>
          <w:tcPr>
            <w:tcW w:w="0" w:type="auto"/>
            <w:vAlign w:val="center"/>
            <w:hideMark/>
          </w:tcPr>
          <w:p w14:paraId="3CA5256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「我有權決定是否准許你做這件事。」</w:t>
            </w:r>
          </w:p>
        </w:tc>
      </w:tr>
      <w:tr w:rsidR="009077A4" w:rsidRPr="009077A4" w14:paraId="51C086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14C6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REG</w:t>
            </w:r>
          </w:p>
        </w:tc>
        <w:tc>
          <w:tcPr>
            <w:tcW w:w="0" w:type="auto"/>
            <w:vAlign w:val="center"/>
            <w:hideMark/>
          </w:tcPr>
          <w:p w14:paraId="21EDCC1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Register／Record</w:t>
            </w:r>
          </w:p>
        </w:tc>
        <w:tc>
          <w:tcPr>
            <w:tcW w:w="0" w:type="auto"/>
            <w:vAlign w:val="center"/>
            <w:hideMark/>
          </w:tcPr>
          <w:p w14:paraId="3ABC383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辦理法定登記、記載或收錄</w:t>
            </w:r>
          </w:p>
        </w:tc>
        <w:tc>
          <w:tcPr>
            <w:tcW w:w="0" w:type="auto"/>
            <w:vAlign w:val="center"/>
            <w:hideMark/>
          </w:tcPr>
          <w:p w14:paraId="61C4B0D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「我將這個法律事項正式登錄。」</w:t>
            </w:r>
          </w:p>
        </w:tc>
      </w:tr>
      <w:tr w:rsidR="009077A4" w:rsidRPr="009077A4" w14:paraId="0D724A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9077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MON</w:t>
            </w:r>
          </w:p>
        </w:tc>
        <w:tc>
          <w:tcPr>
            <w:tcW w:w="0" w:type="auto"/>
            <w:vAlign w:val="center"/>
            <w:hideMark/>
          </w:tcPr>
          <w:p w14:paraId="299FE5D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Monitor／Supervise</w:t>
            </w:r>
          </w:p>
        </w:tc>
        <w:tc>
          <w:tcPr>
            <w:tcW w:w="0" w:type="auto"/>
            <w:vAlign w:val="center"/>
            <w:hideMark/>
          </w:tcPr>
          <w:p w14:paraId="7641A79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持續監督與追蹤</w:t>
            </w:r>
          </w:p>
        </w:tc>
        <w:tc>
          <w:tcPr>
            <w:tcW w:w="0" w:type="auto"/>
            <w:vAlign w:val="center"/>
            <w:hideMark/>
          </w:tcPr>
          <w:p w14:paraId="4FC681E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「成立或核准之後，你是否仍然符合要求？」</w:t>
            </w:r>
          </w:p>
        </w:tc>
      </w:tr>
      <w:tr w:rsidR="009077A4" w:rsidRPr="009077A4" w14:paraId="69DC31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23A8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ENF</w:t>
            </w:r>
          </w:p>
        </w:tc>
        <w:tc>
          <w:tcPr>
            <w:tcW w:w="0" w:type="auto"/>
            <w:vAlign w:val="center"/>
            <w:hideMark/>
          </w:tcPr>
          <w:p w14:paraId="28DB96B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Enforce</w:t>
            </w:r>
          </w:p>
        </w:tc>
        <w:tc>
          <w:tcPr>
            <w:tcW w:w="0" w:type="auto"/>
            <w:vAlign w:val="center"/>
            <w:hideMark/>
          </w:tcPr>
          <w:p w14:paraId="0B31F6A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依法命令改正、裁罰或採取強制措施</w:t>
            </w:r>
          </w:p>
        </w:tc>
        <w:tc>
          <w:tcPr>
            <w:tcW w:w="0" w:type="auto"/>
            <w:vAlign w:val="center"/>
            <w:hideMark/>
          </w:tcPr>
          <w:p w14:paraId="16D0F88F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「你已違反要求，現在依法處理。」</w:t>
            </w:r>
          </w:p>
        </w:tc>
      </w:tr>
    </w:tbl>
    <w:p w14:paraId="3F6EA976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生命週期代碼：T0—T4</w:t>
      </w:r>
    </w:p>
    <w:p w14:paraId="1367EB9C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kern w:val="0"/>
          <w14:ligatures w14:val="none"/>
        </w:rPr>
        <w:t>生命週期表示事項在案件整體進程中的位置，</w:t>
      </w:r>
      <w:r w:rsidRPr="009077A4">
        <w:rPr>
          <w:rFonts w:ascii="新細明體" w:eastAsia="新細明體" w:hAnsi="新細明體" w:cs="新細明體"/>
          <w:b/>
          <w:bCs/>
          <w:kern w:val="0"/>
          <w14:ligatures w14:val="none"/>
        </w:rPr>
        <w:t>不是法定期限，也不是核准狀態</w:t>
      </w:r>
      <w:r w:rsidRPr="009077A4">
        <w:rPr>
          <w:rFonts w:ascii="新細明體" w:eastAsia="新細明體" w:hAnsi="新細明體" w:cs="新細明體"/>
          <w:kern w:val="0"/>
          <w14:ligatures w14:val="none"/>
        </w:rPr>
        <w:t>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1540"/>
        <w:gridCol w:w="6291"/>
      </w:tblGrid>
      <w:tr w:rsidR="009077A4" w:rsidRPr="009077A4" w14:paraId="1859A42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C68E0D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</w:t>
            </w:r>
          </w:p>
        </w:tc>
        <w:tc>
          <w:tcPr>
            <w:tcW w:w="0" w:type="auto"/>
            <w:vAlign w:val="center"/>
            <w:hideMark/>
          </w:tcPr>
          <w:p w14:paraId="20443C0D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階段名稱</w:t>
            </w:r>
          </w:p>
        </w:tc>
        <w:tc>
          <w:tcPr>
            <w:tcW w:w="0" w:type="auto"/>
            <w:vAlign w:val="center"/>
            <w:hideMark/>
          </w:tcPr>
          <w:p w14:paraId="74C08274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內容與例子</w:t>
            </w:r>
          </w:p>
        </w:tc>
      </w:tr>
      <w:tr w:rsidR="009077A4" w:rsidRPr="009077A4" w14:paraId="3B082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FAA04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T0</w:t>
            </w:r>
          </w:p>
        </w:tc>
        <w:tc>
          <w:tcPr>
            <w:tcW w:w="0" w:type="auto"/>
            <w:vAlign w:val="center"/>
            <w:hideMark/>
          </w:tcPr>
          <w:p w14:paraId="46E32A7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案件分類與路徑判定</w:t>
            </w:r>
          </w:p>
        </w:tc>
        <w:tc>
          <w:tcPr>
            <w:tcW w:w="0" w:type="auto"/>
            <w:vAlign w:val="center"/>
            <w:hideMark/>
          </w:tcPr>
          <w:p w14:paraId="13E1084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確定投資人、業別、持股、地點、公司型態、新設或收購，辨識適用義務。</w:t>
            </w:r>
          </w:p>
        </w:tc>
      </w:tr>
      <w:tr w:rsidR="009077A4" w:rsidRPr="009077A4" w14:paraId="0DB55F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E581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T1</w:t>
            </w:r>
          </w:p>
        </w:tc>
        <w:tc>
          <w:tcPr>
            <w:tcW w:w="0" w:type="auto"/>
            <w:vAlign w:val="center"/>
            <w:hideMark/>
          </w:tcPr>
          <w:p w14:paraId="7E271FC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設立前準備</w:t>
            </w:r>
          </w:p>
        </w:tc>
        <w:tc>
          <w:tcPr>
            <w:tcW w:w="0" w:type="auto"/>
            <w:vAlign w:val="center"/>
            <w:hideMark/>
          </w:tcPr>
          <w:p w14:paraId="3DFC28C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準備名稱、授權、文件、股權、人員、地址、資金計畫及適用的前置程序。</w:t>
            </w:r>
          </w:p>
        </w:tc>
      </w:tr>
      <w:tr w:rsidR="009077A4" w:rsidRPr="009077A4" w14:paraId="102744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6C2C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T2</w:t>
            </w:r>
          </w:p>
        </w:tc>
        <w:tc>
          <w:tcPr>
            <w:tcW w:w="0" w:type="auto"/>
            <w:vAlign w:val="center"/>
            <w:hideMark/>
          </w:tcPr>
          <w:p w14:paraId="240A51F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公司設立／法人形成</w:t>
            </w:r>
          </w:p>
        </w:tc>
        <w:tc>
          <w:tcPr>
            <w:tcW w:w="0" w:type="auto"/>
            <w:vAlign w:val="center"/>
            <w:hideMark/>
          </w:tcPr>
          <w:p w14:paraId="3AF6264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辦理使所選公司型態取得法人資格的程序。</w:t>
            </w:r>
          </w:p>
        </w:tc>
      </w:tr>
      <w:tr w:rsidR="009077A4" w:rsidRPr="009077A4" w14:paraId="04E3F2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0C45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T3</w:t>
            </w:r>
          </w:p>
        </w:tc>
        <w:tc>
          <w:tcPr>
            <w:tcW w:w="0" w:type="auto"/>
            <w:vAlign w:val="center"/>
            <w:hideMark/>
          </w:tcPr>
          <w:p w14:paraId="7A2895E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成立後初始化</w:t>
            </w:r>
          </w:p>
        </w:tc>
        <w:tc>
          <w:tcPr>
            <w:tcW w:w="0" w:type="auto"/>
            <w:vAlign w:val="center"/>
            <w:hideMark/>
          </w:tcPr>
          <w:p w14:paraId="020B41B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辦理成立後應完成的帳戶、資金、稅籍、申報或其他初始化事項；具體內容依案件判斷。</w:t>
            </w:r>
          </w:p>
        </w:tc>
      </w:tr>
      <w:tr w:rsidR="009077A4" w:rsidRPr="009077A4" w14:paraId="733F19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AF21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T4</w:t>
            </w:r>
          </w:p>
        </w:tc>
        <w:tc>
          <w:tcPr>
            <w:tcW w:w="0" w:type="auto"/>
            <w:vAlign w:val="center"/>
            <w:hideMark/>
          </w:tcPr>
          <w:p w14:paraId="65873CA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持續法遵與變更</w:t>
            </w:r>
          </w:p>
        </w:tc>
        <w:tc>
          <w:tcPr>
            <w:tcW w:w="0" w:type="auto"/>
            <w:vAlign w:val="center"/>
            <w:hideMark/>
          </w:tcPr>
          <w:p w14:paraId="102EECC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年度申報、資料更新、條件維護、續期、監督及變更事件。</w:t>
            </w:r>
          </w:p>
        </w:tc>
      </w:tr>
    </w:tbl>
    <w:p w14:paraId="56D2DF22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lastRenderedPageBreak/>
        <w:t>四個核心分工欄位</w:t>
      </w:r>
    </w:p>
    <w:p w14:paraId="72C6F82F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kern w:val="0"/>
          <w14:ligatures w14:val="none"/>
        </w:rPr>
        <w:t>以下縮寫是建議的欄位簡稱：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1709"/>
        <w:gridCol w:w="1982"/>
        <w:gridCol w:w="3913"/>
      </w:tblGrid>
      <w:tr w:rsidR="009077A4" w:rsidRPr="009077A4" w14:paraId="2A83C3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2C254C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簡稱</w:t>
            </w:r>
          </w:p>
        </w:tc>
        <w:tc>
          <w:tcPr>
            <w:tcW w:w="0" w:type="auto"/>
            <w:vAlign w:val="center"/>
            <w:hideMark/>
          </w:tcPr>
          <w:p w14:paraId="769FC91F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正式欄位</w:t>
            </w:r>
          </w:p>
        </w:tc>
        <w:tc>
          <w:tcPr>
            <w:tcW w:w="0" w:type="auto"/>
            <w:vAlign w:val="center"/>
            <w:hideMark/>
          </w:tcPr>
          <w:p w14:paraId="6AF39568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中文意義</w:t>
            </w:r>
          </w:p>
        </w:tc>
        <w:tc>
          <w:tcPr>
            <w:tcW w:w="0" w:type="auto"/>
            <w:vAlign w:val="center"/>
            <w:hideMark/>
          </w:tcPr>
          <w:p w14:paraId="1DB7AD65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回答的問題</w:t>
            </w:r>
          </w:p>
        </w:tc>
      </w:tr>
      <w:tr w:rsidR="009077A4" w:rsidRPr="009077A4" w14:paraId="7662D6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D329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AUTH</w:t>
            </w:r>
          </w:p>
        </w:tc>
        <w:tc>
          <w:tcPr>
            <w:tcW w:w="0" w:type="auto"/>
            <w:vAlign w:val="center"/>
            <w:hideMark/>
          </w:tcPr>
          <w:p w14:paraId="5B8AFE7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Authority</w:t>
            </w:r>
          </w:p>
        </w:tc>
        <w:tc>
          <w:tcPr>
            <w:tcW w:w="0" w:type="auto"/>
            <w:vAlign w:val="center"/>
            <w:hideMark/>
          </w:tcPr>
          <w:p w14:paraId="7E50B76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主管機關／有權單位</w:t>
            </w:r>
          </w:p>
        </w:tc>
        <w:tc>
          <w:tcPr>
            <w:tcW w:w="0" w:type="auto"/>
            <w:vAlign w:val="center"/>
            <w:hideMark/>
          </w:tcPr>
          <w:p w14:paraId="7998CFA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誰對該項要求具有法定權限？</w:t>
            </w:r>
          </w:p>
        </w:tc>
      </w:tr>
      <w:tr w:rsidR="009077A4" w:rsidRPr="009077A4" w14:paraId="202354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B1E0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EXEC</w:t>
            </w:r>
          </w:p>
        </w:tc>
        <w:tc>
          <w:tcPr>
            <w:tcW w:w="0" w:type="auto"/>
            <w:vAlign w:val="center"/>
            <w:hideMark/>
          </w:tcPr>
          <w:p w14:paraId="4D7B898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Execution Provider</w:t>
            </w:r>
          </w:p>
        </w:tc>
        <w:tc>
          <w:tcPr>
            <w:tcW w:w="0" w:type="auto"/>
            <w:vAlign w:val="center"/>
            <w:hideMark/>
          </w:tcPr>
          <w:p w14:paraId="175890A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執行者</w:t>
            </w:r>
          </w:p>
        </w:tc>
        <w:tc>
          <w:tcPr>
            <w:tcW w:w="0" w:type="auto"/>
            <w:vAlign w:val="center"/>
            <w:hideMark/>
          </w:tcPr>
          <w:p w14:paraId="3BB1695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誰準備、申請、送件、付款或執行作業？</w:t>
            </w:r>
          </w:p>
        </w:tc>
      </w:tr>
      <w:tr w:rsidR="009077A4" w:rsidRPr="009077A4" w14:paraId="25BA4A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732B9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EVID</w:t>
            </w:r>
          </w:p>
        </w:tc>
        <w:tc>
          <w:tcPr>
            <w:tcW w:w="0" w:type="auto"/>
            <w:vAlign w:val="center"/>
            <w:hideMark/>
          </w:tcPr>
          <w:p w14:paraId="0B5B033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Evidence Provider</w:t>
            </w:r>
          </w:p>
        </w:tc>
        <w:tc>
          <w:tcPr>
            <w:tcW w:w="0" w:type="auto"/>
            <w:vAlign w:val="center"/>
            <w:hideMark/>
          </w:tcPr>
          <w:p w14:paraId="3D96140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證據提供者</w:t>
            </w:r>
          </w:p>
        </w:tc>
        <w:tc>
          <w:tcPr>
            <w:tcW w:w="0" w:type="auto"/>
            <w:vAlign w:val="center"/>
            <w:hideMark/>
          </w:tcPr>
          <w:p w14:paraId="418BA80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誰核發、出具或提供支持資料？</w:t>
            </w:r>
          </w:p>
        </w:tc>
      </w:tr>
      <w:tr w:rsidR="009077A4" w:rsidRPr="009077A4" w14:paraId="76FBD8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C4D87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RCV</w:t>
            </w:r>
          </w:p>
        </w:tc>
        <w:tc>
          <w:tcPr>
            <w:tcW w:w="0" w:type="auto"/>
            <w:vAlign w:val="center"/>
            <w:hideMark/>
          </w:tcPr>
          <w:p w14:paraId="78B1038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Receiver</w:t>
            </w:r>
          </w:p>
        </w:tc>
        <w:tc>
          <w:tcPr>
            <w:tcW w:w="0" w:type="auto"/>
            <w:vAlign w:val="center"/>
            <w:hideMark/>
          </w:tcPr>
          <w:p w14:paraId="39E22C9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受理者／接收者</w:t>
            </w:r>
          </w:p>
        </w:tc>
        <w:tc>
          <w:tcPr>
            <w:tcW w:w="0" w:type="auto"/>
            <w:vAlign w:val="center"/>
            <w:hideMark/>
          </w:tcPr>
          <w:p w14:paraId="34D553C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文件、款項或資料交給誰？</w:t>
            </w:r>
          </w:p>
        </w:tc>
      </w:tr>
    </w:tbl>
    <w:p w14:paraId="36B16795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9077A4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法定完成時點代碼 法定完成時點：</w:t>
      </w:r>
    </w:p>
    <w:p w14:paraId="4EDF9EA9" w14:textId="77777777" w:rsidR="009077A4" w:rsidRPr="009077A4" w:rsidRDefault="009077A4" w:rsidP="009077A4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9077A4">
        <w:rPr>
          <w:rFonts w:ascii="新細明體" w:eastAsia="新細明體" w:hAnsi="新細明體" w:cs="新細明體"/>
          <w:kern w:val="0"/>
          <w14:ligatures w14:val="none"/>
        </w:rPr>
        <w:br/>
        <w:t>必須說清楚「什麼之前或之後」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1696"/>
        <w:gridCol w:w="5171"/>
      </w:tblGrid>
      <w:tr w:rsidR="009077A4" w:rsidRPr="009077A4" w14:paraId="4E2EC9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D6A9EF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代碼</w:t>
            </w:r>
          </w:p>
        </w:tc>
        <w:tc>
          <w:tcPr>
            <w:tcW w:w="0" w:type="auto"/>
            <w:vAlign w:val="center"/>
            <w:hideMark/>
          </w:tcPr>
          <w:p w14:paraId="0D422F49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英文</w:t>
            </w:r>
          </w:p>
        </w:tc>
        <w:tc>
          <w:tcPr>
            <w:tcW w:w="0" w:type="auto"/>
            <w:vAlign w:val="center"/>
            <w:hideMark/>
          </w:tcPr>
          <w:p w14:paraId="3F1CC7EE" w14:textId="77777777" w:rsidR="009077A4" w:rsidRPr="009077A4" w:rsidRDefault="009077A4" w:rsidP="009077A4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中文意義與解釋</w:t>
            </w:r>
          </w:p>
        </w:tc>
      </w:tr>
      <w:tr w:rsidR="009077A4" w:rsidRPr="009077A4" w14:paraId="6BF373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E4F96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PRE-FILE</w:t>
            </w:r>
          </w:p>
        </w:tc>
        <w:tc>
          <w:tcPr>
            <w:tcW w:w="0" w:type="auto"/>
            <w:vAlign w:val="center"/>
            <w:hideMark/>
          </w:tcPr>
          <w:p w14:paraId="323FD468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Filing</w:t>
            </w:r>
          </w:p>
        </w:tc>
        <w:tc>
          <w:tcPr>
            <w:tcW w:w="0" w:type="auto"/>
            <w:vAlign w:val="center"/>
            <w:hideMark/>
          </w:tcPr>
          <w:p w14:paraId="55C46F6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**送件前。**例如正式送件前必須完成有效簽署或附件準備。</w:t>
            </w:r>
          </w:p>
        </w:tc>
      </w:tr>
      <w:tr w:rsidR="009077A4" w:rsidRPr="009077A4" w14:paraId="16206A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98DD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PRE-INC</w:t>
            </w:r>
          </w:p>
        </w:tc>
        <w:tc>
          <w:tcPr>
            <w:tcW w:w="0" w:type="auto"/>
            <w:vAlign w:val="center"/>
            <w:hideMark/>
          </w:tcPr>
          <w:p w14:paraId="04B32A6E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Incorporation</w:t>
            </w:r>
          </w:p>
        </w:tc>
        <w:tc>
          <w:tcPr>
            <w:tcW w:w="0" w:type="auto"/>
            <w:vAlign w:val="center"/>
            <w:hideMark/>
          </w:tcPr>
          <w:p w14:paraId="686F6FC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**公司成立前。**未完成相應要求，不得進入或完成所指定的成立程序。</w:t>
            </w:r>
          </w:p>
        </w:tc>
      </w:tr>
      <w:tr w:rsidR="009077A4" w:rsidRPr="009077A4" w14:paraId="353239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73437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AT-INC</w:t>
            </w:r>
          </w:p>
        </w:tc>
        <w:tc>
          <w:tcPr>
            <w:tcW w:w="0" w:type="auto"/>
            <w:vAlign w:val="center"/>
            <w:hideMark/>
          </w:tcPr>
          <w:p w14:paraId="67BB0E5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At Incorporation</w:t>
            </w:r>
          </w:p>
        </w:tc>
        <w:tc>
          <w:tcPr>
            <w:tcW w:w="0" w:type="auto"/>
            <w:vAlign w:val="center"/>
            <w:hideMark/>
          </w:tcPr>
          <w:p w14:paraId="0E21792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**公司成立時。**與成立同時完成、申報或發生效力。</w:t>
            </w:r>
          </w:p>
        </w:tc>
      </w:tr>
      <w:tr w:rsidR="009077A4" w:rsidRPr="009077A4" w14:paraId="379C2B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46C9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PRE-INV</w:t>
            </w:r>
          </w:p>
        </w:tc>
        <w:tc>
          <w:tcPr>
            <w:tcW w:w="0" w:type="auto"/>
            <w:vAlign w:val="center"/>
            <w:hideMark/>
          </w:tcPr>
          <w:p w14:paraId="0A55CFB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Investment</w:t>
            </w:r>
          </w:p>
        </w:tc>
        <w:tc>
          <w:tcPr>
            <w:tcW w:w="0" w:type="auto"/>
            <w:vAlign w:val="center"/>
            <w:hideMark/>
          </w:tcPr>
          <w:p w14:paraId="190D8B0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**實施投資前。**必須另行定義適用法規所指的投資行為。</w:t>
            </w:r>
          </w:p>
        </w:tc>
      </w:tr>
      <w:tr w:rsidR="009077A4" w:rsidRPr="009077A4" w14:paraId="224F63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5FBF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PRE-CLOSE</w:t>
            </w:r>
          </w:p>
        </w:tc>
        <w:tc>
          <w:tcPr>
            <w:tcW w:w="0" w:type="auto"/>
            <w:vAlign w:val="center"/>
            <w:hideMark/>
          </w:tcPr>
          <w:p w14:paraId="00DF656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Closing</w:t>
            </w:r>
          </w:p>
        </w:tc>
        <w:tc>
          <w:tcPr>
            <w:tcW w:w="0" w:type="auto"/>
            <w:vAlign w:val="center"/>
            <w:hideMark/>
          </w:tcPr>
          <w:p w14:paraId="15420F3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**交易交割前。**在取得指定股份、資產或控制權等交割行為前完成。</w:t>
            </w:r>
          </w:p>
        </w:tc>
      </w:tr>
      <w:tr w:rsidR="009077A4" w:rsidRPr="009077A4" w14:paraId="442EF1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6A19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PRE-REMIT</w:t>
            </w:r>
          </w:p>
        </w:tc>
        <w:tc>
          <w:tcPr>
            <w:tcW w:w="0" w:type="auto"/>
            <w:vAlign w:val="center"/>
            <w:hideMark/>
          </w:tcPr>
          <w:p w14:paraId="4591A3D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Remittance</w:t>
            </w:r>
          </w:p>
        </w:tc>
        <w:tc>
          <w:tcPr>
            <w:tcW w:w="0" w:type="auto"/>
            <w:vAlign w:val="center"/>
            <w:hideMark/>
          </w:tcPr>
          <w:p w14:paraId="7F463A1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**匯款前。**在指定跨境資金移動前完成適用程序。</w:t>
            </w:r>
          </w:p>
        </w:tc>
      </w:tr>
      <w:tr w:rsidR="009077A4" w:rsidRPr="009077A4" w14:paraId="39A9BA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4323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PRE-OP</w:t>
            </w:r>
          </w:p>
        </w:tc>
        <w:tc>
          <w:tcPr>
            <w:tcW w:w="0" w:type="auto"/>
            <w:vAlign w:val="center"/>
            <w:hideMark/>
          </w:tcPr>
          <w:p w14:paraId="68670B32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Operation</w:t>
            </w:r>
          </w:p>
        </w:tc>
        <w:tc>
          <w:tcPr>
            <w:tcW w:w="0" w:type="auto"/>
            <w:vAlign w:val="center"/>
            <w:hideMark/>
          </w:tcPr>
          <w:p w14:paraId="5425653D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**開始指定活動前。**阻擋的是所界定的營業活動，不一定是所有公司活動。</w:t>
            </w:r>
          </w:p>
        </w:tc>
      </w:tr>
      <w:tr w:rsidR="009077A4" w:rsidRPr="009077A4" w14:paraId="4F65E5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330E3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POST-INC</w:t>
            </w:r>
          </w:p>
        </w:tc>
        <w:tc>
          <w:tcPr>
            <w:tcW w:w="0" w:type="auto"/>
            <w:vAlign w:val="center"/>
            <w:hideMark/>
          </w:tcPr>
          <w:p w14:paraId="5B573D2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After Incorporation</w:t>
            </w:r>
          </w:p>
        </w:tc>
        <w:tc>
          <w:tcPr>
            <w:tcW w:w="0" w:type="auto"/>
            <w:vAlign w:val="center"/>
            <w:hideMark/>
          </w:tcPr>
          <w:p w14:paraId="3CD195A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**成立後。**通常須再附自成立日起算的期限。</w:t>
            </w:r>
          </w:p>
        </w:tc>
      </w:tr>
      <w:tr w:rsidR="009077A4" w:rsidRPr="009077A4" w14:paraId="43EF2A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4F4B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POST-REMIT</w:t>
            </w:r>
          </w:p>
        </w:tc>
        <w:tc>
          <w:tcPr>
            <w:tcW w:w="0" w:type="auto"/>
            <w:vAlign w:val="center"/>
            <w:hideMark/>
          </w:tcPr>
          <w:p w14:paraId="25FBF6E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After Remittance</w:t>
            </w:r>
          </w:p>
        </w:tc>
        <w:tc>
          <w:tcPr>
            <w:tcW w:w="0" w:type="auto"/>
            <w:vAlign w:val="center"/>
            <w:hideMark/>
          </w:tcPr>
          <w:p w14:paraId="4E3AE1A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**匯款或出資實行後。**究竟以匯出、入帳或其他事件起算，須依規則明定。</w:t>
            </w:r>
          </w:p>
        </w:tc>
      </w:tr>
      <w:tr w:rsidR="009077A4" w:rsidRPr="009077A4" w14:paraId="6227D4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DFC6A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lastRenderedPageBreak/>
              <w:t>POST-CLOSE</w:t>
            </w:r>
          </w:p>
        </w:tc>
        <w:tc>
          <w:tcPr>
            <w:tcW w:w="0" w:type="auto"/>
            <w:vAlign w:val="center"/>
            <w:hideMark/>
          </w:tcPr>
          <w:p w14:paraId="6A0943C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After Closing</w:t>
            </w:r>
          </w:p>
        </w:tc>
        <w:tc>
          <w:tcPr>
            <w:tcW w:w="0" w:type="auto"/>
            <w:vAlign w:val="center"/>
            <w:hideMark/>
          </w:tcPr>
          <w:p w14:paraId="0079F7E6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**交割後。**例如交易完成後的特定通知或申報。</w:t>
            </w:r>
          </w:p>
        </w:tc>
      </w:tr>
      <w:tr w:rsidR="009077A4" w:rsidRPr="009077A4" w14:paraId="27E3E8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D10F9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POST-CHANGE</w:t>
            </w:r>
          </w:p>
        </w:tc>
        <w:tc>
          <w:tcPr>
            <w:tcW w:w="0" w:type="auto"/>
            <w:vAlign w:val="center"/>
            <w:hideMark/>
          </w:tcPr>
          <w:p w14:paraId="6950E85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After Change</w:t>
            </w:r>
          </w:p>
        </w:tc>
        <w:tc>
          <w:tcPr>
            <w:tcW w:w="0" w:type="auto"/>
            <w:vAlign w:val="center"/>
            <w:hideMark/>
          </w:tcPr>
          <w:p w14:paraId="5FED2651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**變更發生後。**例如股東、董事、地址或控制權變更後的義務。</w:t>
            </w:r>
          </w:p>
        </w:tc>
      </w:tr>
      <w:tr w:rsidR="009077A4" w:rsidRPr="009077A4" w14:paraId="7623F4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664E6B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PRE-EXPIRY</w:t>
            </w:r>
          </w:p>
        </w:tc>
        <w:tc>
          <w:tcPr>
            <w:tcW w:w="0" w:type="auto"/>
            <w:vAlign w:val="center"/>
            <w:hideMark/>
          </w:tcPr>
          <w:p w14:paraId="08DB5230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Before Expiry</w:t>
            </w:r>
          </w:p>
        </w:tc>
        <w:tc>
          <w:tcPr>
            <w:tcW w:w="0" w:type="auto"/>
            <w:vAlign w:val="center"/>
            <w:hideMark/>
          </w:tcPr>
          <w:p w14:paraId="60ECC3E4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**效期屆滿前。**用於應提前辦理的續期或更新。</w:t>
            </w:r>
          </w:p>
        </w:tc>
      </w:tr>
      <w:tr w:rsidR="009077A4" w:rsidRPr="009077A4" w14:paraId="541953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675F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  <w:t>ONGOING</w:t>
            </w:r>
          </w:p>
        </w:tc>
        <w:tc>
          <w:tcPr>
            <w:tcW w:w="0" w:type="auto"/>
            <w:vAlign w:val="center"/>
            <w:hideMark/>
          </w:tcPr>
          <w:p w14:paraId="61C92F05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Ongoing</w:t>
            </w:r>
          </w:p>
        </w:tc>
        <w:tc>
          <w:tcPr>
            <w:tcW w:w="0" w:type="auto"/>
            <w:vAlign w:val="center"/>
            <w:hideMark/>
          </w:tcPr>
          <w:p w14:paraId="7E1DB0EC" w14:textId="77777777" w:rsidR="009077A4" w:rsidRPr="009077A4" w:rsidRDefault="009077A4" w:rsidP="009077A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9077A4">
              <w:rPr>
                <w:rFonts w:ascii="新細明體" w:eastAsia="新細明體" w:hAnsi="新細明體" w:cs="新細明體"/>
                <w:kern w:val="0"/>
                <w14:ligatures w14:val="none"/>
              </w:rPr>
              <w:t>**持續期間。**須一直維持的条件；定期申報仍應另外設置具體週期和期限。</w:t>
            </w:r>
          </w:p>
        </w:tc>
      </w:tr>
    </w:tbl>
    <w:p w14:paraId="2CA24BD3" w14:textId="77777777" w:rsidR="00222E5B" w:rsidRPr="009077A4" w:rsidRDefault="00222E5B"/>
    <w:sectPr w:rsidR="00222E5B" w:rsidRPr="009077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A4"/>
    <w:rsid w:val="00222E5B"/>
    <w:rsid w:val="002530E7"/>
    <w:rsid w:val="009077A4"/>
    <w:rsid w:val="00A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DC8A"/>
  <w15:chartTrackingRefBased/>
  <w15:docId w15:val="{4AF35D2C-B430-41EE-B551-B6B2164D0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77A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7A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7A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7A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7A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7A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7A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77A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7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77A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7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77A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77A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77A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77A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77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7A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7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7A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7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7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7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77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77A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7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77A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7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陳中成Dale</dc:creator>
  <cp:keywords/>
  <dc:description/>
  <cp:lastModifiedBy>陳中成Dale</cp:lastModifiedBy>
  <cp:revision>1</cp:revision>
  <dcterms:created xsi:type="dcterms:W3CDTF">2026-09-09T14:35:00Z</dcterms:created>
  <dcterms:modified xsi:type="dcterms:W3CDTF">2026-09-09T14:40:00Z</dcterms:modified>
</cp:coreProperties>
</file>